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118" w:rsidRPr="000032C8" w:rsidRDefault="00927118" w:rsidP="00927118">
      <w:pPr>
        <w:adjustRightInd w:val="0"/>
        <w:spacing w:after="0" w:line="240" w:lineRule="auto"/>
        <w:jc w:val="center"/>
        <w:rPr>
          <w:rFonts w:ascii="Times New Roman" w:eastAsia="Times New Roman" w:hAnsi="Times New Roman" w:cs="Calibri"/>
          <w:b/>
          <w:caps/>
          <w:sz w:val="28"/>
          <w:szCs w:val="28"/>
        </w:rPr>
      </w:pPr>
      <w:r w:rsidRPr="000032C8">
        <w:rPr>
          <w:rFonts w:ascii="Times New Roman" w:eastAsia="Times New Roman" w:hAnsi="Times New Roman" w:cs="Calibri"/>
          <w:b/>
          <w:caps/>
          <w:sz w:val="28"/>
          <w:szCs w:val="28"/>
        </w:rPr>
        <w:t>Vyhodnotenie medzirezortného pripomienkového konania</w:t>
      </w:r>
    </w:p>
    <w:p w:rsidR="00927118" w:rsidRPr="00024402" w:rsidRDefault="00927118" w:rsidP="00927118">
      <w:pPr>
        <w:jc w:val="center"/>
      </w:pPr>
    </w:p>
    <w:p w:rsidR="00A16FAF" w:rsidRDefault="00A16FAF">
      <w:pPr>
        <w:jc w:val="center"/>
        <w:divId w:val="1923222954"/>
        <w:rPr>
          <w:rFonts w:ascii="Times" w:hAnsi="Times" w:cs="Times"/>
          <w:sz w:val="25"/>
          <w:szCs w:val="25"/>
        </w:rPr>
      </w:pPr>
      <w:r>
        <w:rPr>
          <w:rFonts w:ascii="Times" w:hAnsi="Times" w:cs="Times"/>
          <w:sz w:val="25"/>
          <w:szCs w:val="25"/>
        </w:rPr>
        <w:t>Koncepcia pre boj Slovenskej republiky proti hybridným hrozbám</w:t>
      </w:r>
    </w:p>
    <w:p w:rsidR="00927118" w:rsidRPr="00024402" w:rsidRDefault="00927118" w:rsidP="00CE47A6"/>
    <w:tbl>
      <w:tblPr>
        <w:tblW w:w="15598" w:type="dxa"/>
        <w:tblCellMar>
          <w:left w:w="0" w:type="dxa"/>
          <w:right w:w="0" w:type="dxa"/>
        </w:tblCellMar>
        <w:tblLook w:val="0000" w:firstRow="0" w:lastRow="0" w:firstColumn="0" w:lastColumn="0" w:noHBand="0" w:noVBand="0"/>
      </w:tblPr>
      <w:tblGrid>
        <w:gridCol w:w="7797"/>
        <w:gridCol w:w="7801"/>
      </w:tblGrid>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Spôsob pripomienkového konania</w:t>
            </w: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r w:rsidRPr="00024402">
              <w:rPr>
                <w:rFonts w:ascii="Times New Roman" w:hAnsi="Times New Roman" w:cs="Calibri"/>
                <w:sz w:val="20"/>
                <w:szCs w:val="20"/>
              </w:rPr>
              <w:t> </w:t>
            </w:r>
          </w:p>
        </w:tc>
      </w:tr>
      <w:tr w:rsidR="00A251BF" w:rsidRPr="00024402" w:rsidTr="00B76589">
        <w:tc>
          <w:tcPr>
            <w:tcW w:w="7797" w:type="dxa"/>
            <w:tcBorders>
              <w:top w:val="nil"/>
              <w:left w:val="nil"/>
              <w:bottom w:val="nil"/>
              <w:right w:val="nil"/>
            </w:tcBorders>
          </w:tcPr>
          <w:p w:rsidR="00A251BF" w:rsidRPr="000032C8" w:rsidRDefault="00A251BF"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vznesených pripomienok, z toho zásadných</w:t>
            </w:r>
          </w:p>
        </w:tc>
        <w:tc>
          <w:tcPr>
            <w:tcW w:w="7801" w:type="dxa"/>
            <w:tcBorders>
              <w:top w:val="nil"/>
              <w:left w:val="nil"/>
              <w:bottom w:val="nil"/>
              <w:right w:val="nil"/>
            </w:tcBorders>
          </w:tcPr>
          <w:p w:rsidR="00A251BF" w:rsidRPr="00024402" w:rsidRDefault="0091074B" w:rsidP="00A16FAF">
            <w:pPr>
              <w:spacing w:after="0" w:line="240" w:lineRule="auto"/>
              <w:rPr>
                <w:rFonts w:ascii="Times New Roman" w:hAnsi="Times New Roman" w:cs="Calibri"/>
                <w:sz w:val="20"/>
                <w:szCs w:val="20"/>
              </w:rPr>
            </w:pPr>
            <w:r>
              <w:rPr>
                <w:rFonts w:ascii="Times" w:hAnsi="Times" w:cs="Times"/>
                <w:sz w:val="25"/>
                <w:szCs w:val="25"/>
              </w:rPr>
              <w:t>22</w:t>
            </w:r>
            <w:r w:rsidR="00A16FAF">
              <w:rPr>
                <w:rFonts w:ascii="Times" w:hAnsi="Times" w:cs="Times"/>
                <w:sz w:val="25"/>
                <w:szCs w:val="25"/>
              </w:rPr>
              <w:t xml:space="preserve"> /2</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vyhodnotených pripomienok</w:t>
            </w:r>
          </w:p>
        </w:tc>
        <w:tc>
          <w:tcPr>
            <w:tcW w:w="7801" w:type="dxa"/>
            <w:tcBorders>
              <w:top w:val="nil"/>
              <w:left w:val="nil"/>
              <w:bottom w:val="nil"/>
              <w:right w:val="nil"/>
            </w:tcBorders>
          </w:tcPr>
          <w:p w:rsidR="00927118" w:rsidRPr="00024402" w:rsidRDefault="0091074B" w:rsidP="00A16FAF">
            <w:pPr>
              <w:spacing w:after="0" w:line="240" w:lineRule="auto"/>
              <w:rPr>
                <w:rFonts w:ascii="Times New Roman" w:hAnsi="Times New Roman" w:cs="Calibri"/>
                <w:sz w:val="20"/>
                <w:szCs w:val="20"/>
              </w:rPr>
            </w:pPr>
            <w:r>
              <w:rPr>
                <w:rFonts w:ascii="Times" w:hAnsi="Times" w:cs="Times"/>
                <w:sz w:val="25"/>
                <w:szCs w:val="25"/>
              </w:rPr>
              <w:t>22</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akceptovaných pripomienok, z toho zásadných</w:t>
            </w:r>
          </w:p>
        </w:tc>
        <w:tc>
          <w:tcPr>
            <w:tcW w:w="7801" w:type="dxa"/>
            <w:tcBorders>
              <w:top w:val="nil"/>
              <w:left w:val="nil"/>
              <w:bottom w:val="nil"/>
              <w:right w:val="nil"/>
            </w:tcBorders>
          </w:tcPr>
          <w:p w:rsidR="00927118" w:rsidRPr="00024402" w:rsidRDefault="0091074B" w:rsidP="0091074B">
            <w:pPr>
              <w:spacing w:after="0" w:line="240" w:lineRule="auto"/>
              <w:rPr>
                <w:rFonts w:ascii="Times New Roman" w:hAnsi="Times New Roman" w:cs="Calibri"/>
                <w:sz w:val="20"/>
                <w:szCs w:val="20"/>
              </w:rPr>
            </w:pPr>
            <w:r>
              <w:rPr>
                <w:rFonts w:ascii="Times" w:hAnsi="Times" w:cs="Times"/>
                <w:sz w:val="25"/>
                <w:szCs w:val="25"/>
              </w:rPr>
              <w:t>6</w:t>
            </w:r>
            <w:r w:rsidR="00A16FAF">
              <w:rPr>
                <w:rFonts w:ascii="Times" w:hAnsi="Times" w:cs="Times"/>
                <w:sz w:val="25"/>
                <w:szCs w:val="25"/>
              </w:rPr>
              <w:t xml:space="preserve"> /</w:t>
            </w:r>
            <w:r>
              <w:rPr>
                <w:rFonts w:ascii="Times" w:hAnsi="Times" w:cs="Times"/>
                <w:sz w:val="25"/>
                <w:szCs w:val="25"/>
              </w:rPr>
              <w:t>0</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čiastočne akceptovaných pripomienok, z toho zásadných</w:t>
            </w:r>
          </w:p>
        </w:tc>
        <w:tc>
          <w:tcPr>
            <w:tcW w:w="7801" w:type="dxa"/>
            <w:tcBorders>
              <w:top w:val="nil"/>
              <w:left w:val="nil"/>
              <w:bottom w:val="nil"/>
              <w:right w:val="nil"/>
            </w:tcBorders>
          </w:tcPr>
          <w:p w:rsidR="00927118" w:rsidRPr="00024402" w:rsidRDefault="0091074B" w:rsidP="0091074B">
            <w:pPr>
              <w:spacing w:after="0" w:line="240" w:lineRule="auto"/>
              <w:rPr>
                <w:rFonts w:ascii="Times New Roman" w:hAnsi="Times New Roman" w:cs="Calibri"/>
                <w:sz w:val="20"/>
                <w:szCs w:val="20"/>
              </w:rPr>
            </w:pPr>
            <w:r>
              <w:rPr>
                <w:rFonts w:ascii="Times" w:hAnsi="Times" w:cs="Times"/>
                <w:sz w:val="25"/>
                <w:szCs w:val="25"/>
              </w:rPr>
              <w:t>2</w:t>
            </w:r>
            <w:r w:rsidR="00A16FAF">
              <w:rPr>
                <w:rFonts w:ascii="Times" w:hAnsi="Times" w:cs="Times"/>
                <w:sz w:val="25"/>
                <w:szCs w:val="25"/>
              </w:rPr>
              <w:t xml:space="preserve"> /</w:t>
            </w:r>
            <w:r>
              <w:rPr>
                <w:rFonts w:ascii="Times" w:hAnsi="Times" w:cs="Times"/>
                <w:sz w:val="25"/>
                <w:szCs w:val="25"/>
              </w:rPr>
              <w:t>1</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sz w:val="25"/>
                <w:szCs w:val="25"/>
              </w:rPr>
              <w:t>Počet neakceptovaných pripomienok, z toho zásadných</w:t>
            </w:r>
          </w:p>
        </w:tc>
        <w:tc>
          <w:tcPr>
            <w:tcW w:w="7801" w:type="dxa"/>
            <w:tcBorders>
              <w:top w:val="nil"/>
              <w:left w:val="nil"/>
              <w:bottom w:val="nil"/>
              <w:right w:val="nil"/>
            </w:tcBorders>
          </w:tcPr>
          <w:p w:rsidR="00927118" w:rsidRPr="00024402" w:rsidRDefault="0091074B" w:rsidP="0091074B">
            <w:pPr>
              <w:spacing w:after="0" w:line="240" w:lineRule="auto"/>
              <w:rPr>
                <w:rFonts w:ascii="Times New Roman" w:hAnsi="Times New Roman" w:cs="Calibri"/>
                <w:sz w:val="20"/>
                <w:szCs w:val="20"/>
              </w:rPr>
            </w:pPr>
            <w:r>
              <w:rPr>
                <w:rFonts w:ascii="Times" w:hAnsi="Times" w:cs="Times"/>
                <w:sz w:val="25"/>
                <w:szCs w:val="25"/>
              </w:rPr>
              <w:t>3</w:t>
            </w:r>
            <w:r w:rsidR="00A16FAF">
              <w:rPr>
                <w:rFonts w:ascii="Times" w:hAnsi="Times" w:cs="Times"/>
                <w:sz w:val="25"/>
                <w:szCs w:val="25"/>
              </w:rPr>
              <w:t xml:space="preserve"> /</w:t>
            </w:r>
            <w:r>
              <w:rPr>
                <w:rFonts w:ascii="Times" w:hAnsi="Times" w:cs="Times"/>
                <w:sz w:val="25"/>
                <w:szCs w:val="25"/>
              </w:rPr>
              <w:t>1</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p>
        </w:tc>
        <w:tc>
          <w:tcPr>
            <w:tcW w:w="7801" w:type="dxa"/>
            <w:tcBorders>
              <w:top w:val="nil"/>
              <w:left w:val="nil"/>
              <w:bottom w:val="nil"/>
              <w:right w:val="nil"/>
            </w:tcBorders>
          </w:tcPr>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sz w:val="25"/>
                <w:szCs w:val="25"/>
              </w:rPr>
            </w:pPr>
            <w:r w:rsidRPr="000032C8">
              <w:rPr>
                <w:rFonts w:ascii="Times New Roman" w:hAnsi="Times New Roman" w:cs="Calibri"/>
                <w:bCs/>
                <w:sz w:val="25"/>
                <w:szCs w:val="25"/>
              </w:rPr>
              <w:t>Rozporové konanie (s kým, kedy, s akým výsledkom)</w:t>
            </w:r>
          </w:p>
        </w:tc>
        <w:tc>
          <w:tcPr>
            <w:tcW w:w="7801" w:type="dxa"/>
            <w:tcBorders>
              <w:top w:val="nil"/>
              <w:left w:val="nil"/>
              <w:bottom w:val="nil"/>
              <w:right w:val="nil"/>
            </w:tcBorders>
          </w:tcPr>
          <w:p w:rsidR="00F55D91" w:rsidRDefault="00F55D91" w:rsidP="00F55D91">
            <w:pPr>
              <w:spacing w:after="0" w:line="240" w:lineRule="auto"/>
              <w:rPr>
                <w:rFonts w:ascii="Times" w:hAnsi="Times" w:cs="Times"/>
                <w:sz w:val="25"/>
                <w:szCs w:val="25"/>
              </w:rPr>
            </w:pPr>
            <w:r>
              <w:rPr>
                <w:rFonts w:ascii="Times" w:hAnsi="Times" w:cs="Times"/>
                <w:sz w:val="25"/>
                <w:szCs w:val="25"/>
              </w:rPr>
              <w:t xml:space="preserve">rozpory s MH SR odstránené, 04.05.2018; </w:t>
            </w:r>
          </w:p>
          <w:p w:rsidR="00F55D91" w:rsidRDefault="00F55D91" w:rsidP="00F55D91">
            <w:pPr>
              <w:spacing w:after="0" w:line="240" w:lineRule="auto"/>
              <w:rPr>
                <w:rFonts w:ascii="Times" w:hAnsi="Times" w:cs="Times"/>
                <w:sz w:val="25"/>
                <w:szCs w:val="25"/>
              </w:rPr>
            </w:pPr>
            <w:r>
              <w:rPr>
                <w:rFonts w:ascii="Times" w:hAnsi="Times" w:cs="Times"/>
                <w:sz w:val="25"/>
                <w:szCs w:val="25"/>
              </w:rPr>
              <w:t xml:space="preserve">podnet verejnosti (hromadná pripomienka) </w:t>
            </w:r>
          </w:p>
          <w:p w:rsidR="00F55D91" w:rsidRDefault="00F55D91" w:rsidP="00F55D91">
            <w:pPr>
              <w:spacing w:after="0" w:line="240" w:lineRule="auto"/>
              <w:rPr>
                <w:rFonts w:ascii="Times" w:hAnsi="Times" w:cs="Times"/>
                <w:sz w:val="25"/>
                <w:szCs w:val="25"/>
              </w:rPr>
            </w:pPr>
            <w:r>
              <w:rPr>
                <w:rFonts w:ascii="Times" w:hAnsi="Times" w:cs="Times"/>
                <w:sz w:val="25"/>
                <w:szCs w:val="25"/>
              </w:rPr>
              <w:t xml:space="preserve">zapracovaný do textu, 04.05.2018; </w:t>
            </w:r>
          </w:p>
          <w:p w:rsidR="00927118" w:rsidRPr="00024402" w:rsidRDefault="00927118" w:rsidP="00E165A9">
            <w:pPr>
              <w:spacing w:after="0" w:line="240" w:lineRule="auto"/>
              <w:rPr>
                <w:rFonts w:ascii="Times New Roman" w:hAnsi="Times New Roman" w:cs="Calibri"/>
                <w:sz w:val="20"/>
                <w:szCs w:val="20"/>
              </w:rPr>
            </w:pP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odstránených pripomienok</w:t>
            </w:r>
          </w:p>
        </w:tc>
        <w:tc>
          <w:tcPr>
            <w:tcW w:w="7801" w:type="dxa"/>
            <w:tcBorders>
              <w:top w:val="nil"/>
              <w:left w:val="nil"/>
              <w:bottom w:val="nil"/>
              <w:right w:val="nil"/>
            </w:tcBorders>
          </w:tcPr>
          <w:p w:rsidR="00927118" w:rsidRPr="00024402" w:rsidRDefault="00F55D91" w:rsidP="00E165A9">
            <w:pPr>
              <w:spacing w:after="0" w:line="240" w:lineRule="auto"/>
              <w:rPr>
                <w:rFonts w:ascii="Times New Roman" w:hAnsi="Times New Roman" w:cs="Calibri"/>
                <w:sz w:val="20"/>
                <w:szCs w:val="20"/>
              </w:rPr>
            </w:pPr>
            <w:r w:rsidRPr="00F55D91">
              <w:rPr>
                <w:rFonts w:ascii="Times New Roman" w:hAnsi="Times New Roman" w:cs="Calibri"/>
                <w:sz w:val="24"/>
                <w:szCs w:val="20"/>
              </w:rPr>
              <w:t>2</w:t>
            </w:r>
          </w:p>
        </w:tc>
      </w:tr>
      <w:tr w:rsidR="00927118" w:rsidRPr="00024402" w:rsidTr="00B76589">
        <w:tc>
          <w:tcPr>
            <w:tcW w:w="7797" w:type="dxa"/>
            <w:tcBorders>
              <w:top w:val="nil"/>
              <w:left w:val="nil"/>
              <w:bottom w:val="nil"/>
              <w:right w:val="nil"/>
            </w:tcBorders>
          </w:tcPr>
          <w:p w:rsidR="00927118" w:rsidRPr="000032C8" w:rsidRDefault="00927118" w:rsidP="00E165A9">
            <w:pPr>
              <w:spacing w:after="0" w:line="240" w:lineRule="auto"/>
              <w:rPr>
                <w:rFonts w:ascii="Times New Roman" w:hAnsi="Times New Roman" w:cs="Calibri"/>
                <w:bCs/>
                <w:sz w:val="25"/>
                <w:szCs w:val="25"/>
              </w:rPr>
            </w:pPr>
            <w:r w:rsidRPr="000032C8">
              <w:rPr>
                <w:rFonts w:ascii="Times New Roman" w:hAnsi="Times New Roman" w:cs="Calibri"/>
                <w:bCs/>
                <w:sz w:val="25"/>
                <w:szCs w:val="25"/>
              </w:rPr>
              <w:t>Počet neodstránených pripomienok</w:t>
            </w:r>
          </w:p>
        </w:tc>
        <w:tc>
          <w:tcPr>
            <w:tcW w:w="7801" w:type="dxa"/>
            <w:tcBorders>
              <w:top w:val="nil"/>
              <w:left w:val="nil"/>
              <w:bottom w:val="nil"/>
              <w:right w:val="nil"/>
            </w:tcBorders>
          </w:tcPr>
          <w:p w:rsidR="00927118" w:rsidRPr="00024402" w:rsidRDefault="00F55D91" w:rsidP="00E165A9">
            <w:pPr>
              <w:spacing w:after="0" w:line="240" w:lineRule="auto"/>
              <w:rPr>
                <w:rFonts w:ascii="Times New Roman" w:hAnsi="Times New Roman" w:cs="Calibri"/>
                <w:sz w:val="20"/>
                <w:szCs w:val="20"/>
              </w:rPr>
            </w:pPr>
            <w:r w:rsidRPr="00F55D91">
              <w:rPr>
                <w:rFonts w:ascii="Times New Roman" w:hAnsi="Times New Roman" w:cs="Calibri"/>
                <w:sz w:val="24"/>
                <w:szCs w:val="20"/>
              </w:rPr>
              <w:t>0</w:t>
            </w:r>
          </w:p>
        </w:tc>
      </w:tr>
    </w:tbl>
    <w:p w:rsidR="00927118" w:rsidRPr="00024402" w:rsidRDefault="00927118" w:rsidP="00927118">
      <w:pPr>
        <w:spacing w:after="0" w:line="240" w:lineRule="auto"/>
        <w:rPr>
          <w:rFonts w:ascii="Times New Roman" w:hAnsi="Times New Roman" w:cs="Calibri"/>
          <w:b/>
          <w:sz w:val="20"/>
          <w:szCs w:val="20"/>
        </w:rPr>
      </w:pPr>
    </w:p>
    <w:p w:rsidR="00927118" w:rsidRPr="000032C8" w:rsidRDefault="00927118" w:rsidP="00927118">
      <w:pPr>
        <w:spacing w:after="0" w:line="240" w:lineRule="auto"/>
        <w:rPr>
          <w:sz w:val="25"/>
          <w:szCs w:val="25"/>
        </w:rPr>
      </w:pPr>
      <w:r w:rsidRPr="000032C8">
        <w:rPr>
          <w:rFonts w:ascii="Times New Roman" w:hAnsi="Times New Roman" w:cs="Calibri"/>
          <w:sz w:val="25"/>
          <w:szCs w:val="25"/>
        </w:rPr>
        <w:t>Sumarizácia vznesených pripomienok podľa subjektov</w:t>
      </w:r>
    </w:p>
    <w:p w:rsidR="00A16FAF" w:rsidRDefault="00A16FAF"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7738"/>
        <w:gridCol w:w="1404"/>
        <w:gridCol w:w="1404"/>
        <w:gridCol w:w="1391"/>
        <w:gridCol w:w="1040"/>
      </w:tblGrid>
      <w:tr w:rsidR="00A16FAF">
        <w:trPr>
          <w:divId w:val="1414468557"/>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Vôbec nezaslali</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390DD3">
            <w:pPr>
              <w:rPr>
                <w:rFonts w:ascii="Times" w:hAnsi="Times" w:cs="Times"/>
                <w:sz w:val="25"/>
                <w:szCs w:val="25"/>
              </w:rPr>
            </w:pPr>
            <w:r>
              <w:rPr>
                <w:rFonts w:ascii="Times" w:hAnsi="Times" w:cs="Times"/>
                <w:sz w:val="25"/>
                <w:szCs w:val="25"/>
              </w:rPr>
              <w:t>Asociácia zamestnávateľ</w:t>
            </w:r>
            <w:r w:rsidR="00A16FAF">
              <w:rPr>
                <w:rFonts w:ascii="Times" w:hAnsi="Times" w:cs="Times"/>
                <w:sz w:val="25"/>
                <w:szCs w:val="25"/>
              </w:rPr>
              <w:t>ských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dopravy a výstavby Slovenskej r</w:t>
            </w:r>
            <w:bookmarkStart w:id="0" w:name="_GoBack"/>
            <w:bookmarkEnd w:id="0"/>
            <w:r>
              <w:rPr>
                <w:rFonts w:ascii="Times" w:hAnsi="Times" w:cs="Times"/>
                <w:sz w:val="25"/>
                <w:szCs w:val="25"/>
              </w:rPr>
              <w:t>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lastRenderedPageBreak/>
              <w:t>4.</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6 (4o,2z)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5.</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6.</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Slovenská informačná služba</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 (2o,0z)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Verejnosť</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 (1o,0z)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školstva, vedy, výskumu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20.</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21.</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22.</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23.</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Úrad podpredsedu vlády Slovenskej republiky pre investície a informatizáciu</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24.</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25.</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26.</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27.</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28.</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29.</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30.</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31.</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32.</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Národná rada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33.</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34.</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35.</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36.</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37.</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38.</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39.</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40.</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41.</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x</w:t>
            </w:r>
          </w:p>
        </w:tc>
      </w:tr>
      <w:tr w:rsidR="00A16FAF">
        <w:trPr>
          <w:divId w:val="1414468557"/>
          <w:jc w:val="center"/>
        </w:trPr>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rPr>
                <w:rFonts w:ascii="Times" w:hAnsi="Times" w:cs="Times"/>
                <w:sz w:val="25"/>
                <w:szCs w:val="25"/>
              </w:rPr>
            </w:pPr>
            <w:r>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22 (20o,2z)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r>
              <w:rPr>
                <w:rFonts w:ascii="Times" w:hAnsi="Times" w:cs="Times"/>
                <w:sz w:val="25"/>
                <w:szCs w:val="25"/>
              </w:rPr>
              <w:t>0 (0o,0z)</w:t>
            </w: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A16FAF" w:rsidRDefault="00A16FAF">
            <w:pPr>
              <w:jc w:val="center"/>
              <w:rPr>
                <w:sz w:val="20"/>
                <w:szCs w:val="20"/>
              </w:rPr>
            </w:pPr>
          </w:p>
        </w:tc>
      </w:tr>
    </w:tbl>
    <w:p w:rsidR="00BF7CE0" w:rsidRPr="00BF7CE0" w:rsidRDefault="00BF7CE0" w:rsidP="00841FA6">
      <w:pPr>
        <w:rPr>
          <w:b/>
          <w:bCs/>
          <w:color w:val="000000"/>
          <w:sz w:val="20"/>
          <w:szCs w:val="20"/>
        </w:rPr>
      </w:pPr>
      <w:r w:rsidRPr="009F7218">
        <w:rPr>
          <w:rFonts w:ascii="Times New Roman" w:eastAsia="Times New Roman" w:hAnsi="Times New Roman" w:cs="Times New Roman"/>
          <w:bCs/>
          <w:color w:val="000000"/>
          <w:sz w:val="25"/>
          <w:szCs w:val="25"/>
        </w:rPr>
        <w:t>Vyhodnotenie vecných pripomienok je uvedené v tabuľkovej časti.</w:t>
      </w:r>
    </w:p>
    <w:p w:rsidR="00BF7CE0" w:rsidRPr="00BF7CE0" w:rsidRDefault="00BF7CE0" w:rsidP="00BF7CE0">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BF7CE0" w:rsidRPr="00BF7CE0" w:rsidTr="00943EB2">
        <w:trPr>
          <w:cantSplit/>
        </w:trPr>
        <w:tc>
          <w:tcPr>
            <w:tcW w:w="4928" w:type="dxa"/>
            <w:gridSpan w:val="2"/>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Vysvetlivky  k použitým skratkám v tabuľke:</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O – obyčajná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A – akceptovaná</w:t>
            </w:r>
          </w:p>
        </w:tc>
      </w:tr>
      <w:tr w:rsidR="00BF7CE0" w:rsidRPr="00BF7CE0"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Z – zásadná</w:t>
            </w: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N – neakceptovaná</w:t>
            </w:r>
          </w:p>
        </w:tc>
      </w:tr>
      <w:tr w:rsidR="00BF7CE0" w:rsidRPr="00856FFA" w:rsidTr="00943EB2">
        <w:trPr>
          <w:cantSplit/>
        </w:trPr>
        <w:tc>
          <w:tcPr>
            <w:tcW w:w="180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p>
        </w:tc>
        <w:tc>
          <w:tcPr>
            <w:tcW w:w="3119" w:type="dxa"/>
            <w:tcBorders>
              <w:top w:val="nil"/>
              <w:left w:val="nil"/>
              <w:bottom w:val="nil"/>
              <w:right w:val="nil"/>
            </w:tcBorders>
          </w:tcPr>
          <w:p w:rsidR="00BF7CE0" w:rsidRPr="009F7218" w:rsidRDefault="00BF7CE0" w:rsidP="00342C19">
            <w:pPr>
              <w:pStyle w:val="Zkladntext"/>
              <w:widowControl/>
              <w:jc w:val="both"/>
              <w:rPr>
                <w:b w:val="0"/>
                <w:color w:val="000000"/>
                <w:sz w:val="25"/>
                <w:szCs w:val="25"/>
              </w:rPr>
            </w:pPr>
            <w:r w:rsidRPr="009F7218">
              <w:rPr>
                <w:b w:val="0"/>
                <w:color w:val="000000"/>
                <w:sz w:val="25"/>
                <w:szCs w:val="25"/>
              </w:rPr>
              <w:t>ČA – čiastočne akceptovaná</w:t>
            </w:r>
          </w:p>
        </w:tc>
      </w:tr>
    </w:tbl>
    <w:p w:rsidR="00E85710" w:rsidRDefault="00E85710">
      <w:r>
        <w:br w:type="page"/>
      </w:r>
    </w:p>
    <w:p w:rsidR="00A16FAF" w:rsidRDefault="00A16FAF" w:rsidP="00CE47A6">
      <w:pPr>
        <w:rPr>
          <w:rFonts w:ascii="Consolas" w:hAnsi="Consolas" w:cs="Consolas"/>
          <w:sz w:val="20"/>
          <w:szCs w:val="20"/>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377"/>
        <w:gridCol w:w="6641"/>
        <w:gridCol w:w="653"/>
        <w:gridCol w:w="653"/>
        <w:gridCol w:w="3981"/>
      </w:tblGrid>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Subjekt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Typ</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Vyh.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Spôsob vyhodnotenia</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AZZZ 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k predloženému návrhu 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Akceptovaná</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GPSR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Akceptovaná</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MDaVSR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Akceptovaná</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K celému materiálu, odporúčame predkladateľovi upraviť v koncepcii terminológiu a taktiež uviesť jej zdroje. Odôvodnenie: Predkladateľ v materiáli uvádza, napr.: v I. kapitole definíciu hybridných hrozieb, pričom v SR sa zatiaľ tento termín nepodarilo terminologickej komisii preniesť ani do terminologického slovníka; v IV. kapitole je uvedené „o rizikách spojených s prejavmi hybridných hrozieb“, pričom riziká predstavujú iba kvantitatívne vyjadrenie veľkosti hrozby; v materiáli je taktiež viackrát spomenutý termín „orgány štátu“, ale nie je jasné, ktoré konkrétne orgány má predkladateľ presne na mysli.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Text upravený okrem použitia pojmu „riziko“, ktoré vo všeobecnosti je pravdepodobnosť vzniku akejkoľvek hrozby, nie je to len kvantitatívne vyjadrenie jej veľkosti a uvedený termín je taktiež vyjadrený v Terminologickom slovníku krízového riadenia.</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 xml:space="preserve">K celému materiálu, žiadame prekladateľa o prepracovanie obsahu a záveru alebo o zmenu názvu materiálu. Odôvodnenie: Hoci názov materiálu je „Koncepcia boja SR proti hybridným hrozbám“, v obsahu ani v závere nie je v podstate nič uvedené o spôsobe boja proti hybridným hrozbám. V materiáli je uvedené, že cieľom koncepcie je nastavenie mechanizmu výmeny informácií a kooperácie pri ich vyhodnocovaní, pričom v závere je uvedené, že cieľom koncepcie je len zvýšiť povedomie spoločnosti o možnostiach výskytu prejavov hybridných hrozieb.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Vo všeobecnosti „koncepcia“ predstavuje spôsob nazerania/ponímania na problematiku hybridných hrozieb. Nie je akčným plánom plnenia opatrení v boji proti hybridným hrozbám. Čo sa týka názvu materiálu predložený text korešponduje s používaním pojmu na úrovni EÚ. V rámci prijatého materiálu Európskou komisiou („Spoločný rámec pre boj proti hybridným hrozbám - reakcia EÚ) koncepcia definuje chýbajúci článok- spôsob výmeny a vyhodnocovania informácií po vertikálnej línii smerom k úrovni rozhodovania. Text v závere materiálu upravený.</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 xml:space="preserve">K doložke vybraných vplyvov, doložka vybraných vplyvov k predmetnému materiálu neobsahuje informáciu, aké alternatívne riešenia boli zvažované. Podľa Jednotnej metodiky na posudzovanie vybraných vplyvov, predkladateľ má popísať jednotlivé alternatívy takým spôsobom, aby bolo zrejmé, ako vedú k stanovenému cieľu. Sústredí sa pritom na obsah vecného riešenia, ale aj na spôsob implementácie a vynucovania. V tomto zmysle odporúčame dopracovanie bodu 5. doložky vybraných vplyvov, uvádzajúc popis týchto alternatívnych riešení, vrátane nulového variantu.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Doložka vybraných vplyvov upravená o bod 5. Alternatívne riešenia s uvedeným minimálnym nulovým variantom.</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 xml:space="preserve">K doložke vybraných vplyvov, Jednotná metodika na posudzovanie vybraných vplyvov uvádza, že predkladateľ má jasne a zrozumiteľne definovať cieľový stav, resp. účel, ktorý sa má dosiahnuť prijatím navrhovaného materiálu. Navrhovateľovi preto odporúčame vypracovať bod 3. doložky vybraných vplyvov v zmysle spomínanej metodiky.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Doložka vybraných vplyvov upravená o bod 3. Ciele a výsledný stav.</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 xml:space="preserve">K doložke vybraných vplyvov, z jednotnej metodiky na posudzovanie vybraných vplyvov vyplýva, že predkladateľ má v bode 2. doložky vybraných vplyvov uvádzať základné problémy, na ktoré návrh reaguje, vychádzajúc z analýzy právneho a skutkového stavu. V tomto zmysle predkladateľovi odporúčame preformulovať bod 2. doložky vybraných vplyvov a popísať príčiny problému, kvantifikovať jeho rozsah a uviesť, či ide o jednorazový alebo opakujúci sa, resp. trvalý problém.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Doložka vybraných vplyvov upravená a doplnená v bode 2. Definícia problému.</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 xml:space="preserve">K III. Návrh inštitucionálneho rámca, žiadame prekladateľa o vypustenie odsekov popisujúcich úlohy národného kontaktného miesta pre hybridné hrozby, úlohy národného kooperačného centra pre hybridné hrozby a taktiež úlohy orgánov štátu. Odôvodnenie: Uvedené úlohy je potrebné zapracovať v príslušných právnych predpisoch a nie v koncepčnom materiáli. Ten má nastaviť rámec boja proti hybridným hrozbám.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 xml:space="preserve">Rozporové konanie - rozpory odstránené. Zásadné pripomienky Ministerstva hospodárstva SR akceptované a zapracované do návrhu koncepcie. Úpravy v texte odsúhlasené členmi medzirezortnej pracovnej skupiny. Súhlas s textom potvrdený aj predkladateľom zásadnej pripomienky 29.5.2018. </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MKSR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K celému materiálu: 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Akceptovaná</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 xml:space="preserve">K Vlastnému materiálu, odporúčame 1. v časti Úvod doplniť text v druhom odseku uvedený v zátvorkách nasledovne: .... podpora extrémizmu, využívanie problémov súvisiacich s extrémnou diferenciáciou sociálnej štruktúry, využívanie národnostných ..... Odôvodnenie: Spresnenie textu. 2. na str. 3 v druhej vete nahradiť text marginalizované skupiny, textom sociálne zraniteľné skupiny obyvateľstva. Odôvodnenie: Spresnenie textu. 3. na str. 3 v časti III. v piatej odrážke doplniť text nasledovne: ...politickú, sociálnu a bezpečnostnú stabilitu; Odôvodnenie: Spresnenie textu.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 xml:space="preserve">V druhom odseku úvodnej časti sú ako príklad uvedené len niektoré činnosti a metódy na utvorenie predstavy o šírke ich spektra. Účelom textu nie je možné ich vymenovať všetky. Na strane 3 v druhej vete použitý pojem „marginalizované skupiny“ zahŕňa aj sociálne zraniteľné skupiny obyvateľstva. Na strane 3 v časti III. v piatej odrážke pojmy politická a bezpečnostná stabilita zahŕňa aj sociálnu stabilitu. </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Akceptovaná</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Akceptovaná</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MZVaEZSR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Akceptovaná</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MŽPSR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Text upravený.</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Text upravený.</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NBS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k celému materiálu 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Text upravený.</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NBÚSR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 xml:space="preserve">K vlastnému materiálu Vo vlastnom materiáli navrhujeme zjednotiť formátovanie textu (zjednotiť riadkovanie a formátovanie odsekov v celom texte) a v úvode v treťom odseku za slovom „zoskupeniam“ doplniť bodku. Odôvodnenie: Gramatická pripomienka.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Text upravený.</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SIS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 xml:space="preserve">1. V časti III. Návrh inštitucionálneho rámca - Úlohy Národného kooperačného centra pre hybridné hrozby navrhujeme upraviť predkladateľom navrhnuté znenie, a to nasledovne: „Úlohy Národného kooperačného centra pre hybridné hrozby, ktoré plní Národné bezpečnostné analytické centrum (ďalej len „NBAC“), sú najmä: a) prijať informáciu ktoréhokoľvek orgánu štátu s podozrením na hybridnú hrozbu a zaradiť ju do procesu vyhodnocovania vytvorením dokumentu NBAC; b) po vyjadrení štátnych orgánov zastúpených v NBAC v spolupráci so SITCEN doplniť do príslušného dokumentu NBAC súvislosti z pohľadu bezpečnostných záujmov EÚ a NATO a rozhodnúť o potrebe spracovania výstupu pre príjemcov; Úlohy orgánov štátu sú najmä: a) vyhodnocovať incidenty vo svojej pôsobnosti a ich dopady a súvislosti, ktoré môžu viesť k hybridnej hrozbe; b) postupovať takéto poznatky NBAC k ďalšiemu doplneniu; c) v rámci svojej pôsobnosti poskytnúť NBAC doplňujúce poznatky, ktoré sú predmetom posudzovania.“ Odôvodnenie: V súčasnosti NBAC ako špecializované pracovisko Slovenskej informačnej služby v rámci svojej pôsobnosti najmä prijíma a vyhodnocuje informácie o bezpečnostných incidentoch a o bezpečnostných udalostiach prijatých od štátnych orgánov Slovenskej republiky, právnických osôb v zakladateľskej pôsobnosti štátu alebo v zriaďovateľskej pôsobnosti štátu a od orgánov iných štátov obdobného zamerania a pôsobnosti. NBAC v súvislosti s kategorizáciou jednotlivých vstupov a z dôvodu diferenciácie ich následného spracúvania vytvára v rámci svojej činnosti dokumenty identifikujúce jednotlivé vstupy do NBAC. Vzhľadom na skutočnosť, že vo vzťahu ku signálu NBAC záznam o bezpečnostnom incidente nevypracováva, nami navrhované znenie vypúšťa predmetné písm. b). Uvedené zmeny navrhovaného textu reflektujú na súčasnú aplikačnú prax NBAC.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Text upravený.</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SIS</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 xml:space="preserve">2. Navrhujeme v časti III. Návrh inštitucionálneho rámca ods. 1, odrážka č. 5 legislatívno-technicky upraviť navrhované znenie, a to nasledovne: „• informačné a propagandistické operácie s cieľom podkopať dôveru v štátne inštitúcie, vyvolať spoločenské nepokoje a vážne destabilizovať politickú a bezpečnostnú situáciu;“ Odôvodnenie: Uvedenú zmenu navrhujeme z dôvodu použitia zaužívanej terminológie vychádzajúcej z koncepčných materiálov týkajúcich sa bezpečnosti Slovenskej republiky, akým je napr. Bezpečnostná stratégia Slovenskej republiky z roku 2017, ktorá pojem „bezpečnostná stabilita“ nepoužíva. </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Text upravený.</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ÚVO</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Bez pripomienok.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Akceptovaná</w:t>
            </w:r>
          </w:p>
        </w:tc>
      </w:tr>
      <w:tr w:rsidR="00A16FAF">
        <w:trPr>
          <w:divId w:val="38894595"/>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b/>
                <w:bCs/>
                <w:sz w:val="25"/>
                <w:szCs w:val="25"/>
              </w:rPr>
            </w:pPr>
            <w:r>
              <w:rPr>
                <w:rFonts w:ascii="Times" w:hAnsi="Times" w:cs="Times"/>
                <w:b/>
                <w:bCs/>
                <w:sz w:val="25"/>
                <w:szCs w:val="25"/>
              </w:rPr>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br/>
              <w:t>HROMADNÁ PRIPOMIENKA PROTI FICOVÝM KONŠPIRÁCIÁM Úrad vlády SR predložil v pondelok 5. marca 2018 do medzirezortného pripomienkového konania návrh Koncepcie pre boj Slovenskej republiky proti hybridným hrozbám (rezortné číslo: 10535-51805/2018/KBR, zodpovedný predkladateľ: Robert Fico). Návrh koncepcie pripravila pracovná skupina, ktorá bola vytvorená v gescii riaditeľa Kancelárie Bezpečnostnej rady SR RSDr. Viliama Jasaňa. Ako vyplýva aj z návrhu koncepcie, dôležitou súčasťou hybridných hrozieb je propagandistická kampaň, šírenie dezinformácií, populistické ponúkanie zjednodušeného videnia reality. Tieto znaky sú charakteristické aj pre konšpiračné teórie, ktorých šírenie často býva súčasťou hybridnej vojny. V rovnaký deň, ako bola do pripomienkového konania predložená koncepcia pre boj proti hybridným hrozbám, začal jednu takúto konšpiračnú teóriu šíriť zodpovedný predkladateľ koncepcie Robert Fico, predseda vlády SR a predseda Bezpečnostnej rady SR. Ide o teóriu o ovplyvňovaní súčasného politického vývoja v Slovenskej republike americkým miliardárom Georgom Sorosom, a to v súvislosti s jeho minuloročným stretnutím s prezidentom Slovenskej republiky Andrejom Kiskom. V rôznych obmenách túto konšpiračnú teóriu, ktorú pôvodne šírili tzv. alternatívne médiá a extrémisti, zopakoval predseda vlády a strany SMER-SD Robert Fico aj v ďalších dňoch počas stále ešte prebiehajúceho pripomienkového konania k návrhu koncepcie a po ňom aj ďalší predstavitelia strany SMER-SD, napr. podpredseda parlamentu, predseda poslaneckého klubu SMER-SD a bývalý minister obrany Martin Glváč, či predseda Výboru NR SR pre európske záležitosti Ľuboš Blaha. Považujeme za neprijateľné, aby sa členovia vlády a parlamentu podieľali na šírení extrémistickej propagandy, dezinformácií a konšpiračných teórií, ktoré patria medzi najvážnejšie hybridné hrozby. V tejto hromadnej pripomienke preto navrhujeme do koncepcie boja proti hybridným hrozbám zapracovať -spôsob, akým bude Slovenská republika reagovať na hybridné hrozby spočívajúce v šírení extrémistickej propagandy, dezinformácií a konšpiračných teórií, -spôsob, akým bude zabezpečené, že najvyšší štátni predstavitelia a štátne inštitúcie budú mať dostatočné informácie a povedomie, aby sami aktívne nešírili extrémistickú propagandu, dezinformácie a konšpiračné teórie, -spôsob, akým budú najvyšší štátni predstavitelia a štátne inštitúcie upozorňovaní na to, že sa podieľajú na šírení extrémistickej propagandy, dezinformácií a konšpiračných teórií. Externý alebo interný politický nátlak na najvyšších štátnych predstaviteľov a štátne inštitúcie boli koncepciou identifikované ako prvý zo základných indikátorov hybridných útokov. Ďalším z indikátorov sú podľa koncepcie informačné a propagandistické operácie s cieľom podkopať dôveru v štátne inštitúcie, vyvolať spoločenské nepokoje a vážne destabilizovať politickú a bezpečnostnú stabilitu. Hybridné hrozby podľa návrhu koncepcie „polarizujú spoločnosť, vnášajú neistotu, a tým podkopávajú legitimitu, dôveryhodnosť, akcieschopnosť štátnych inštitúcií a demokratický ústavný poriadok a majú tak negatívny vplyv na realizáciu bezpečnostných záujmov štátov, ktoré sú im vystavené“. Znamenajú hrozbu pre demokratický systém a ohrozujú členstvo Slovenskej republiky v Európskej únii a Severoatlantickej aliancie. EÚ a NATO vnímajú hybridné hrozby ako jednu z najvážnejších bezpečnostných výziev, pretože hybridným útokom čelia aj ostatné členské krajiny týchto integračných zoskupení. Preto je dôležité, aby koncepcia boja proti hybridným hrozbám neostala iba prázdnou deklaráciou na papieri a aby sa zabezpečilo prinajmenšom to, že hybridnú hrozbu nebudú predstavovať najvyšší štátni predstavitelia a štátne inštitúcie, ktoré majú za boj proti hybridným hrozbám zodpovedať. Návrh koncepcie je zverejnený na portáli slov-lex: https://www.slov-lex.sk/legislativne-procesy/SK/LP/2018/133 Iniciátori hromadnej pripomienky: Ondrej Dostál, predseda Občianskej konzervatívnej strany (OKS), poslanec NR SR Zuzana Zimenová, poslankyňa NR SR (nez.) Peter Osuský, poslanec NR SR, SaS Viera Dubačová, poslankyňa NR SR, SPOLU Gábor Grendel, predseda NOVA, poslanec NR SR Martin Poliačik, poslanec NR SR, Progresívne Slovensko Jaroslav Naď, Slovenský inštitút pre bezpečnostnú politiku Peter Gonda, Konzervatívny inštitút M. R. Štefánika (KI) Juraj Petrovič, podpredseda OKS Lucia Štasselová, poslankyňa mestského zastupiteľstva, Bratislava Jakub Nedoba, Mladí liberáli Dušan Sloboda, KI Ivan Kuhn, KI Irena Bihariová, právnička, Progresívne Slovensko Radovan Kazda, vydavateľ Juraj Smatana, učiteľ a poslanec mestského zastupiteľstva, Zmena zdola Elena Pätoprstá, poslankyňa Bratislavského samosprávneho kraja, Zmena zdola Ján Benčík, bloger Hromadná pripomienka je zverejnená a zber podpisov prebieha tu: http://oks.sk/hromadna-pripomienka-proti-ficovym-konspiraciam/ Podpisy budú zaslané e-mailom. Všetky tri pripomienky majú charakter zásadnej pripomienky. V prípade, že úrad vlády nevyhovie hromadnej pripomienke, žiadame uskutočnenie rozporového konania, na ktoré budú písomne pozvaní nižšie uvedení zástupcovia verejnosti. Kontakty na splnomocnených zástupcov verejnosti: Ondrej Dostál, Beskydská 8, 811 05 Bratislava, ondrejdostal @ institute.sk Zuzana Zimenová, Bučuháza 48, 931 01 Šamorín, zuzana @ zimenova.sk Peter Osuský, Palisády 32, 811 06 Bratislava, peter_osusky @ nrsr.sk Gábor Grendel, Vazovova 15, 811 07, Bratislava, grendel @ nova.sk Jaroslav Naď, SSPI, Na vŕšku 8, Bratislava, Jaroslav.nad @ slovaksecurity.org Lucia Štasselová, Nezábudková 2, 82101 Bratislava, lucia.stasselova @ gmail.com Ivan Kuhn, Šafárikova 86, 048 01 Rožňava, ivankuhn @ institute.sk</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jc w:val="center"/>
              <w:rPr>
                <w:rFonts w:ascii="Times" w:hAnsi="Times" w:cs="Times"/>
                <w:sz w:val="25"/>
                <w:szCs w:val="25"/>
              </w:rPr>
            </w:pPr>
            <w:r>
              <w:rPr>
                <w:rFonts w:ascii="Times" w:hAnsi="Times" w:cs="Times"/>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A16FAF" w:rsidRDefault="00A16FAF">
            <w:pPr>
              <w:rPr>
                <w:rFonts w:ascii="Times" w:hAnsi="Times" w:cs="Times"/>
                <w:sz w:val="25"/>
                <w:szCs w:val="25"/>
              </w:rPr>
            </w:pPr>
            <w:r>
              <w:rPr>
                <w:rFonts w:ascii="Times" w:hAnsi="Times" w:cs="Times"/>
                <w:sz w:val="25"/>
                <w:szCs w:val="25"/>
              </w:rPr>
              <w:t xml:space="preserve">Pripomienka verejnosti nespĺňa kritéria pripomienky a bola klasifikovaná ako podnet podľa Metodického pokynu na prípravu a predkladanie materiálov na rokovanie vlády SR (http://www.vlada.gov.sk/mp). Uskutočnilo sa pracovné rokovanie so zástupcami verejnosti, na ktorom pracovná skupina odsúhlasila návrh zástupcov verejnosti na úpravu textu. </w:t>
            </w:r>
          </w:p>
        </w:tc>
      </w:tr>
    </w:tbl>
    <w:p w:rsidR="00154A91" w:rsidRPr="00154A91" w:rsidRDefault="00154A91" w:rsidP="00CE47A6"/>
    <w:p w:rsidR="00154A91" w:rsidRPr="00024402" w:rsidRDefault="00154A91" w:rsidP="00CE47A6"/>
    <w:sectPr w:rsidR="00154A91" w:rsidRPr="00024402" w:rsidSect="004075B2">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67E" w:rsidRDefault="00B8767E" w:rsidP="000A67D5">
      <w:pPr>
        <w:spacing w:after="0" w:line="240" w:lineRule="auto"/>
      </w:pPr>
      <w:r>
        <w:separator/>
      </w:r>
    </w:p>
  </w:endnote>
  <w:endnote w:type="continuationSeparator" w:id="0">
    <w:p w:rsidR="00B8767E" w:rsidRDefault="00B8767E"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Consolas">
    <w:panose1 w:val="020B0609020204030204"/>
    <w:charset w:val="EE"/>
    <w:family w:val="modern"/>
    <w:pitch w:val="fixed"/>
    <w:sig w:usb0="E00002FF" w:usb1="0000F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67E" w:rsidRDefault="00B8767E" w:rsidP="000A67D5">
      <w:pPr>
        <w:spacing w:after="0" w:line="240" w:lineRule="auto"/>
      </w:pPr>
      <w:r>
        <w:separator/>
      </w:r>
    </w:p>
  </w:footnote>
  <w:footnote w:type="continuationSeparator" w:id="0">
    <w:p w:rsidR="00B8767E" w:rsidRDefault="00B8767E"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removePersonalInformation/>
  <w:removeDateAndTime/>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844"/>
    <w:rsid w:val="000032C8"/>
    <w:rsid w:val="00024402"/>
    <w:rsid w:val="000324A3"/>
    <w:rsid w:val="0006543E"/>
    <w:rsid w:val="000A67D5"/>
    <w:rsid w:val="000E25CA"/>
    <w:rsid w:val="000F7A42"/>
    <w:rsid w:val="00146547"/>
    <w:rsid w:val="00146B48"/>
    <w:rsid w:val="00150388"/>
    <w:rsid w:val="00154A91"/>
    <w:rsid w:val="002109B0"/>
    <w:rsid w:val="0021228E"/>
    <w:rsid w:val="00230F3C"/>
    <w:rsid w:val="002654AA"/>
    <w:rsid w:val="002827B4"/>
    <w:rsid w:val="002A5577"/>
    <w:rsid w:val="002D7471"/>
    <w:rsid w:val="00310A55"/>
    <w:rsid w:val="00322014"/>
    <w:rsid w:val="00390DD3"/>
    <w:rsid w:val="0039526D"/>
    <w:rsid w:val="003B435B"/>
    <w:rsid w:val="003D101C"/>
    <w:rsid w:val="003D5E45"/>
    <w:rsid w:val="003E4226"/>
    <w:rsid w:val="004075B2"/>
    <w:rsid w:val="00436C44"/>
    <w:rsid w:val="00474A9D"/>
    <w:rsid w:val="00532574"/>
    <w:rsid w:val="0059081C"/>
    <w:rsid w:val="005E7C53"/>
    <w:rsid w:val="00642FB8"/>
    <w:rsid w:val="006A3681"/>
    <w:rsid w:val="007156F5"/>
    <w:rsid w:val="007A1010"/>
    <w:rsid w:val="007B7F1A"/>
    <w:rsid w:val="007D7AE6"/>
    <w:rsid w:val="007E4294"/>
    <w:rsid w:val="00841FA6"/>
    <w:rsid w:val="008A1964"/>
    <w:rsid w:val="008E2844"/>
    <w:rsid w:val="0090100E"/>
    <w:rsid w:val="0091074B"/>
    <w:rsid w:val="009239D9"/>
    <w:rsid w:val="00927118"/>
    <w:rsid w:val="00943EB2"/>
    <w:rsid w:val="0099665B"/>
    <w:rsid w:val="009C6C5C"/>
    <w:rsid w:val="009F7218"/>
    <w:rsid w:val="00A16FAF"/>
    <w:rsid w:val="00A251BF"/>
    <w:rsid w:val="00A54A16"/>
    <w:rsid w:val="00B721A5"/>
    <w:rsid w:val="00B76589"/>
    <w:rsid w:val="00B8767E"/>
    <w:rsid w:val="00BD1FAB"/>
    <w:rsid w:val="00BE7302"/>
    <w:rsid w:val="00BF7CE0"/>
    <w:rsid w:val="00CA44D2"/>
    <w:rsid w:val="00CE47A6"/>
    <w:rsid w:val="00CF3D59"/>
    <w:rsid w:val="00D261C9"/>
    <w:rsid w:val="00D85172"/>
    <w:rsid w:val="00D969AC"/>
    <w:rsid w:val="00DF7085"/>
    <w:rsid w:val="00E85710"/>
    <w:rsid w:val="00EB772A"/>
    <w:rsid w:val="00EF1425"/>
    <w:rsid w:val="00F26A4A"/>
    <w:rsid w:val="00F55D91"/>
    <w:rsid w:val="00F727F0"/>
    <w:rsid w:val="00F85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8E95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basedOn w:val="Predvolenpsmoodseku"/>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rFonts w:ascii="Calibri" w:eastAsia="Times New Roman" w:hAnsi="Calibri" w:cs="Times New Roman"/>
      <w:sz w:val="20"/>
      <w:szCs w:val="20"/>
    </w:rPr>
  </w:style>
  <w:style w:type="character" w:customStyle="1" w:styleId="TextkomentraChar">
    <w:name w:val="Text komentára Char"/>
    <w:basedOn w:val="Predvolenpsmoodseku"/>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eastAsia="Times New Roman" w:hAnsi="Times New Roman" w:cs="Times New Roman"/>
      <w:b/>
      <w:bCs/>
      <w:sz w:val="28"/>
      <w:szCs w:val="28"/>
    </w:rPr>
  </w:style>
  <w:style w:type="character" w:customStyle="1" w:styleId="ZkladntextChar">
    <w:name w:val="Základný text Char"/>
    <w:basedOn w:val="Predvolenpsmoodseku"/>
    <w:link w:val="Zkladntext"/>
    <w:uiPriority w:val="99"/>
    <w:semiHidden/>
    <w:rsid w:val="00BF7CE0"/>
    <w:rPr>
      <w:rFonts w:ascii="Times New Roman" w:eastAsia="Times New Roman" w:hAnsi="Times New Roman" w:cs="Times New Roman"/>
      <w:b/>
      <w:bCs/>
      <w:sz w:val="28"/>
      <w:szCs w:val="28"/>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94595">
      <w:bodyDiv w:val="1"/>
      <w:marLeft w:val="0"/>
      <w:marRight w:val="0"/>
      <w:marTop w:val="0"/>
      <w:marBottom w:val="0"/>
      <w:divBdr>
        <w:top w:val="none" w:sz="0" w:space="0" w:color="auto"/>
        <w:left w:val="none" w:sz="0" w:space="0" w:color="auto"/>
        <w:bottom w:val="none" w:sz="0" w:space="0" w:color="auto"/>
        <w:right w:val="none" w:sz="0" w:space="0" w:color="auto"/>
      </w:divBdr>
    </w:div>
    <w:div w:id="723329742">
      <w:bodyDiv w:val="1"/>
      <w:marLeft w:val="0"/>
      <w:marRight w:val="0"/>
      <w:marTop w:val="0"/>
      <w:marBottom w:val="0"/>
      <w:divBdr>
        <w:top w:val="none" w:sz="0" w:space="0" w:color="auto"/>
        <w:left w:val="none" w:sz="0" w:space="0" w:color="auto"/>
        <w:bottom w:val="none" w:sz="0" w:space="0" w:color="auto"/>
        <w:right w:val="none" w:sz="0" w:space="0" w:color="auto"/>
      </w:divBdr>
    </w:div>
    <w:div w:id="1414468557">
      <w:bodyDiv w:val="1"/>
      <w:marLeft w:val="0"/>
      <w:marRight w:val="0"/>
      <w:marTop w:val="0"/>
      <w:marBottom w:val="0"/>
      <w:divBdr>
        <w:top w:val="none" w:sz="0" w:space="0" w:color="auto"/>
        <w:left w:val="none" w:sz="0" w:space="0" w:color="auto"/>
        <w:bottom w:val="none" w:sz="0" w:space="0" w:color="auto"/>
        <w:right w:val="none" w:sz="0" w:space="0" w:color="auto"/>
      </w:divBdr>
    </w:div>
    <w:div w:id="1507018569">
      <w:bodyDiv w:val="1"/>
      <w:marLeft w:val="0"/>
      <w:marRight w:val="0"/>
      <w:marTop w:val="0"/>
      <w:marBottom w:val="0"/>
      <w:divBdr>
        <w:top w:val="none" w:sz="0" w:space="0" w:color="auto"/>
        <w:left w:val="none" w:sz="0" w:space="0" w:color="auto"/>
        <w:bottom w:val="none" w:sz="0" w:space="0" w:color="auto"/>
        <w:right w:val="none" w:sz="0" w:space="0" w:color="auto"/>
      </w:divBdr>
    </w:div>
    <w:div w:id="1552115611">
      <w:bodyDiv w:val="1"/>
      <w:marLeft w:val="0"/>
      <w:marRight w:val="0"/>
      <w:marTop w:val="0"/>
      <w:marBottom w:val="0"/>
      <w:divBdr>
        <w:top w:val="none" w:sz="0" w:space="0" w:color="auto"/>
        <w:left w:val="none" w:sz="0" w:space="0" w:color="auto"/>
        <w:bottom w:val="none" w:sz="0" w:space="0" w:color="auto"/>
        <w:right w:val="none" w:sz="0" w:space="0" w:color="auto"/>
      </w:divBdr>
    </w:div>
    <w:div w:id="1679850348">
      <w:bodyDiv w:val="1"/>
      <w:marLeft w:val="0"/>
      <w:marRight w:val="0"/>
      <w:marTop w:val="0"/>
      <w:marBottom w:val="0"/>
      <w:divBdr>
        <w:top w:val="none" w:sz="0" w:space="0" w:color="auto"/>
        <w:left w:val="none" w:sz="0" w:space="0" w:color="auto"/>
        <w:bottom w:val="none" w:sz="0" w:space="0" w:color="auto"/>
        <w:right w:val="none" w:sz="0" w:space="0" w:color="auto"/>
      </w:divBdr>
    </w:div>
    <w:div w:id="1923222954">
      <w:bodyDiv w:val="1"/>
      <w:marLeft w:val="0"/>
      <w:marRight w:val="0"/>
      <w:marTop w:val="0"/>
      <w:marBottom w:val="0"/>
      <w:divBdr>
        <w:top w:val="none" w:sz="0" w:space="0" w:color="auto"/>
        <w:left w:val="none" w:sz="0" w:space="0" w:color="auto"/>
        <w:bottom w:val="none" w:sz="0" w:space="0" w:color="auto"/>
        <w:right w:val="none" w:sz="0" w:space="0" w:color="auto"/>
      </w:divBdr>
    </w:div>
    <w:div w:id="195914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30.5.2018 13:18:20"/>
    <f:field ref="objchangedby" par="" text="Administrator, System"/>
    <f:field ref="objmodifiedat" par="" text="30.5.2018 13:18:24"/>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https://ovdmasv601/sites/DMS/_layouts/15/DocIdRedir.aspx?ID=WKX3UHSAJ2R6-2-856003</Url>
      <Description>WKX3UHSAJ2R6-2-856003</Description>
    </_dlc_DocIdUrl>
    <_dlc_DocId xmlns="e60a29af-d413-48d4-bd90-fe9d2a897e4b">WKX3UHSAJ2R6-2-856003</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97E31048-F5B9-4ADF-9C8F-DB1B674E5CEB}"/>
</file>

<file path=customXml/itemProps3.xml><?xml version="1.0" encoding="utf-8"?>
<ds:datastoreItem xmlns:ds="http://schemas.openxmlformats.org/officeDocument/2006/customXml" ds:itemID="{824C353F-64E3-465E-BB89-818A777FAF0B}"/>
</file>

<file path=customXml/itemProps4.xml><?xml version="1.0" encoding="utf-8"?>
<ds:datastoreItem xmlns:ds="http://schemas.openxmlformats.org/officeDocument/2006/customXml" ds:itemID="{122E5E34-2DE9-45CC-B99A-6740EAA5EC82}"/>
</file>

<file path=customXml/itemProps5.xml><?xml version="1.0" encoding="utf-8"?>
<ds:datastoreItem xmlns:ds="http://schemas.openxmlformats.org/officeDocument/2006/customXml" ds:itemID="{8BC8A063-B3DD-4253-A4FA-CC8F9ADD7219}"/>
</file>

<file path=docProps/app.xml><?xml version="1.0" encoding="utf-8"?>
<Properties xmlns="http://schemas.openxmlformats.org/officeDocument/2006/extended-properties" xmlns:vt="http://schemas.openxmlformats.org/officeDocument/2006/docPropsVTypes">
  <Template>Normal.dotm</Template>
  <TotalTime>0</TotalTime>
  <Pages>14</Pages>
  <Words>2794</Words>
  <Characters>15927</Characters>
  <Application>Microsoft Office Word</Application>
  <DocSecurity>0</DocSecurity>
  <Lines>132</Lines>
  <Paragraphs>37</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18684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2018-05-30T11:42:00Z</dcterms:created>
  <dcterms:modified xsi:type="dcterms:W3CDTF">2018-06-07T09:13:00Z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cisloparlamenttlac">
    <vt:lpwstr/>
  </property>
  <property fmtid="{D5CDD505-2E9C-101B-9397-08002B2CF9AE}" pid="5" name="FSC#SKEDITIONSLOVLEX@103.510:stavpredpis">
    <vt:lpwstr>Pred rokovaním</vt:lpwstr>
  </property>
  <property fmtid="{D5CDD505-2E9C-101B-9397-08002B2CF9AE}" pid="6" name="FSC#SKEDITIONSLOVLEX@103.510:povodpredpis">
    <vt:lpwstr>Slovlex (eLeg)</vt:lpwstr>
  </property>
  <property fmtid="{D5CDD505-2E9C-101B-9397-08002B2CF9AE}" pid="7" name="FSC#SKEDITIONSLOVLEX@103.510:legoblast">
    <vt:lpwstr>Nelegislatívna oblasť</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Ing. Anna Škutová</vt:lpwstr>
  </property>
  <property fmtid="{D5CDD505-2E9C-101B-9397-08002B2CF9AE}" pid="11" name="FSC#SKEDITIONSLOVLEX@103.510:zodppredkladatel">
    <vt:lpwstr>Róbert Fico</vt:lpwstr>
  </property>
  <property fmtid="{D5CDD505-2E9C-101B-9397-08002B2CF9AE}" pid="12" name="FSC#SKEDITIONSLOVLEX@103.510:dalsipredkladatel">
    <vt:lpwstr/>
  </property>
  <property fmtid="{D5CDD505-2E9C-101B-9397-08002B2CF9AE}" pid="13" name="FSC#SKEDITIONSLOVLEX@103.510:nazovpredpis">
    <vt:lpwstr> Koncepcia pre boj Slovenskej republiky proti hybridným hrozbám</vt:lpwstr>
  </property>
  <property fmtid="{D5CDD505-2E9C-101B-9397-08002B2CF9AE}" pid="14" name="FSC#SKEDITIONSLOVLEX@103.510:nazovpredpis1">
    <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Úrad vlády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Uznesenie BR SR č. 538/2017 zo dňa 17. mája 2017</vt:lpwstr>
  </property>
  <property fmtid="{D5CDD505-2E9C-101B-9397-08002B2CF9AE}" pid="22" name="FSC#SKEDITIONSLOVLEX@103.510:plnynazovpredpis">
    <vt:lpwstr> Koncepcia pre boj Slovenskej republiky proti hybridným hrozbám</vt:lpwstr>
  </property>
  <property fmtid="{D5CDD505-2E9C-101B-9397-08002B2CF9AE}" pid="23" name="FSC#SKEDITIONSLOVLEX@103.510:plnynazovpredpis1">
    <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10535-51805/2018/KBR</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LP/2018/133</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Žiadne</vt:lpwstr>
  </property>
  <property fmtid="{D5CDD505-2E9C-101B-9397-08002B2CF9AE}" pid="60" name="FSC#SKEDITIONSLOVLEX@103.510:AttrStrDocPropVplyvPodnikatelskeProstr">
    <vt:lpwstr>Žiadne</vt:lpwstr>
  </property>
  <property fmtid="{D5CDD505-2E9C-101B-9397-08002B2CF9AE}" pid="61" name="FSC#SKEDITIONSLOVLEX@103.510:AttrStrDocPropVplyvSocialny">
    <vt:lpwstr>Žiadne</vt:lpwstr>
  </property>
  <property fmtid="{D5CDD505-2E9C-101B-9397-08002B2CF9AE}" pid="62" name="FSC#SKEDITIONSLOVLEX@103.510:AttrStrDocPropVplyvNaZivotProstr">
    <vt:lpwstr>Žiadne</vt:lpwstr>
  </property>
  <property fmtid="{D5CDD505-2E9C-101B-9397-08002B2CF9AE}" pid="63" name="FSC#SKEDITIONSLOVLEX@103.510:AttrStrDocPropVplyvNaInformatizaciu">
    <vt:lpwstr>Žiadne</vt:lpwstr>
  </property>
  <property fmtid="{D5CDD505-2E9C-101B-9397-08002B2CF9AE}" pid="64" name="FSC#SKEDITIONSLOVLEX@103.510:AttrStrListDocPropPoznamkaVplyv">
    <vt:lpwstr/>
  </property>
  <property fmtid="{D5CDD505-2E9C-101B-9397-08002B2CF9AE}" pid="65" name="FSC#SKEDITIONSLOVLEX@103.510:AttrStrListDocPropAltRiesenia">
    <vt:lpwstr>žiadne</vt:lpwstr>
  </property>
  <property fmtid="{D5CDD505-2E9C-101B-9397-08002B2CF9AE}" pid="66" name="FSC#SKEDITIONSLOVLEX@103.510:AttrStrListDocPropStanoviskoGest">
    <vt:lpwstr/>
  </property>
  <property fmtid="{D5CDD505-2E9C-101B-9397-08002B2CF9AE}" pid="67" name="FSC#SKEDITIONSLOVLEX@103.510:AttrStrListDocPropTextKomunike">
    <vt:lpwstr>Vláda Slovenskej republiky na svojom rokovaní dňa ....................... prerokovala a schválila materiál Koncepcia pre boj Slovenskej republiky proti hybridným hrozbám.</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ministri_x000d_
vedúci Úradu vlády SR_x000d_
vedúci Úradu podpredsedu vlády SR pre investície a informatizáciu_x000d_
riaditeľ Národného bezpečnostného úradu_x000d_
predsedovia ostatných ústredných orgánov štátnej správy SR</vt:lpwstr>
  </property>
  <property fmtid="{D5CDD505-2E9C-101B-9397-08002B2CF9AE}" pid="136" name="FSC#SKEDITIONSLOVLEX@103.510:AttrStrListDocPropUznesenieNaVedomie">
    <vt:lpwstr>guvernér Národnej banky Slovenska_x000d_
predseda Najvyššieho kontrolného úradu SR_x000d_
generálny prokurátor SR_x000d_
vedúci Kancelárie Najvyššieho súdu SR_x000d_
vedúci Kancelárie Ústavného súdu SR_x000d_
vedúci Kancelárie prezidenta SR_x000d_
vedúci Kancelárie Národnej rady SR_x000d_
vedúci </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predseda vlády Slovenskej republiky</vt:lpwstr>
  </property>
  <property fmtid="{D5CDD505-2E9C-101B-9397-08002B2CF9AE}" pid="141" name="FSC#SKEDITIONSLOVLEX@103.510:funkciaZodpPredAkuzativ">
    <vt:lpwstr>predsedovi vlády Slovenskej republiky</vt:lpwstr>
  </property>
  <property fmtid="{D5CDD505-2E9C-101B-9397-08002B2CF9AE}" pid="142" name="FSC#SKEDITIONSLOVLEX@103.510:funkciaZodpPredDativ">
    <vt:lpwstr>predsedu vlády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Róbert Fico_x000d_
predseda vlády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 style="text-align: justify;"&gt;&lt;span style="font-size: 18px;"&gt;Návrh Koncepcie pre boj Slovenskej republiky proti hybridným hrozbám bol vypracovaný na základe uznesenia Bezpečnostnej rady SR č. 538/2017 zo dňa 17. mája 2017 k Návrhu ministra zahraničných </vt:lpwstr>
  </property>
  <property fmtid="{D5CDD505-2E9C-101B-9397-08002B2CF9AE}" pid="149" name="FSC#COOSYSTEM@1.1:Container">
    <vt:lpwstr>COO.2145.1000.3.2592966</vt:lpwstr>
  </property>
  <property fmtid="{D5CDD505-2E9C-101B-9397-08002B2CF9AE}" pid="150" name="FSC#FSCFOLIO@1.1001:docpropproject">
    <vt:lpwstr/>
  </property>
  <property fmtid="{D5CDD505-2E9C-101B-9397-08002B2CF9AE}" pid="151" name="FSC#SKEDITIONSLOVLEX@103.510:aktualnyrok">
    <vt:lpwstr>2018</vt:lpwstr>
  </property>
  <property fmtid="{D5CDD505-2E9C-101B-9397-08002B2CF9AE}" pid="152" name="FSC#SKEDITIONSLOVLEX@103.510:vytvorenedna">
    <vt:lpwstr>30. 5. 2018</vt:lpwstr>
  </property>
  <property fmtid="{D5CDD505-2E9C-101B-9397-08002B2CF9AE}" pid="153" name="ContentTypeId">
    <vt:lpwstr>0x0101006C0C8C3C1E3DCC44BECE3792677AD011</vt:lpwstr>
  </property>
  <property fmtid="{D5CDD505-2E9C-101B-9397-08002B2CF9AE}" pid="154" name="_dlc_DocIdItemGuid">
    <vt:lpwstr>b99dfd65-6419-4269-8197-f3e9280206a6</vt:lpwstr>
  </property>
</Properties>
</file>